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34" w:rsidRDefault="005252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5234" w:rsidRDefault="00525234">
      <w:pPr>
        <w:pStyle w:val="ConsPlusNormal"/>
        <w:jc w:val="both"/>
        <w:outlineLvl w:val="0"/>
      </w:pPr>
    </w:p>
    <w:p w:rsidR="00525234" w:rsidRDefault="0052523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25234" w:rsidRDefault="00525234">
      <w:pPr>
        <w:pStyle w:val="ConsPlusTitle"/>
        <w:jc w:val="center"/>
      </w:pPr>
    </w:p>
    <w:p w:rsidR="00525234" w:rsidRDefault="00525234">
      <w:pPr>
        <w:pStyle w:val="ConsPlusTitle"/>
        <w:jc w:val="center"/>
      </w:pPr>
      <w:r>
        <w:t>ПИСЬМО</w:t>
      </w:r>
    </w:p>
    <w:p w:rsidR="00525234" w:rsidRDefault="00525234">
      <w:pPr>
        <w:pStyle w:val="ConsPlusTitle"/>
        <w:jc w:val="center"/>
      </w:pPr>
      <w:r>
        <w:t>от 23 апреля 2020 г. N 14-2/10/П-3710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в соответствии с </w:t>
      </w:r>
      <w:hyperlink r:id="rId5" w:history="1">
        <w:r>
          <w:rPr>
            <w:color w:val="0000FF"/>
          </w:rPr>
          <w:t>пунктом 4 "г"</w:t>
        </w:r>
      </w:hyperlink>
      <w:r>
        <w:t xml:space="preserve"> перечня поручений по итогам совещания Президента Российской Федерации с членами Правительства Российской Федерации 17 марта 2020 г. от 2 апреля 2020 г. N Пр-612 о разработке рекомендаций для организаций всех форм собственности об использовании в отношении работников (в первую очередь граждан, имеющих детей дошкольного и школьного возраста) гибких форм занятости, в том числе дистанционных форм, а также о переводе образовательных организаций на дистанционное обучение на период распространения на территории Российской Федерации новой коронавирусной инфекции (COVID-19) и в соответствии с пунктом 17 перечня поручений Правительства Российской Федерации от 7 апреля 2020 г. N ММ-П13-2910кв о необходимости совместно с заинтересованными федеральными органами исполнительной власти, органами исполнительной власти субъектов Российской Федерации обеспечения выполнения </w:t>
      </w:r>
      <w:hyperlink r:id="rId6" w:history="1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N Пр-612 от 2 апреля 2020 г. и подготовки соответствующих докладов Президенту Российской Федерации и проектов нормативных правовых актов, в случаях, когда требуется их разработка, разработало и направляет для использования в работе </w:t>
      </w:r>
      <w:hyperlink w:anchor="P16" w:history="1">
        <w:r>
          <w:rPr>
            <w:color w:val="0000FF"/>
          </w:rPr>
          <w:t>рекомендации</w:t>
        </w:r>
      </w:hyperlink>
      <w:r>
        <w:t xml:space="preserve"> по применению гибких форм занятости в условиях предупреждения распространения новой коронавирусной инфекции на территории Российской Федерации.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jc w:val="right"/>
      </w:pPr>
      <w:r>
        <w:t>А.О.КОТЯКОВ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jc w:val="right"/>
        <w:outlineLvl w:val="0"/>
      </w:pPr>
      <w:r>
        <w:t>Приложение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Title"/>
        <w:jc w:val="center"/>
      </w:pPr>
      <w:bookmarkStart w:id="0" w:name="P16"/>
      <w:bookmarkEnd w:id="0"/>
      <w:r>
        <w:t>РЕКОМЕНДАЦИИ</w:t>
      </w:r>
    </w:p>
    <w:p w:rsidR="00525234" w:rsidRDefault="00525234">
      <w:pPr>
        <w:pStyle w:val="ConsPlusTitle"/>
        <w:jc w:val="center"/>
      </w:pPr>
      <w:r>
        <w:t>ПО ПРИМЕНЕНИЮ ГИБКИХ ФОРМ ЗАНЯТОСТИ В УСЛОВИЯХ</w:t>
      </w:r>
    </w:p>
    <w:p w:rsidR="00525234" w:rsidRDefault="00525234">
      <w:pPr>
        <w:pStyle w:val="ConsPlusTitle"/>
        <w:jc w:val="center"/>
      </w:pPr>
      <w:r>
        <w:t>ПРЕДУПРЕЖДЕНИЯ РАСПРОСТРАНЕНИЯ НОВОЙ КОРОНАВИРУСНОЙ</w:t>
      </w:r>
    </w:p>
    <w:p w:rsidR="00525234" w:rsidRDefault="00525234">
      <w:pPr>
        <w:pStyle w:val="ConsPlusTitle"/>
        <w:jc w:val="center"/>
      </w:pPr>
      <w:r>
        <w:t>ИНФЕКЦИИ НА ТЕРРИТОРИИ РОССИЙСКОЙ ФЕДЕРАЦИИ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ind w:firstLine="540"/>
        <w:jc w:val="both"/>
      </w:pPr>
      <w:r>
        <w:t>Министерство труда и социальной защиты Российской Федерации с целью предупреждения распространения новой коронавирусной инфекции на территории Российской Федерации рекомендует работодателям организовать применение гибких режимов работы.</w:t>
      </w:r>
    </w:p>
    <w:p w:rsidR="00525234" w:rsidRDefault="00525234">
      <w:pPr>
        <w:pStyle w:val="ConsPlusNormal"/>
        <w:ind w:firstLine="540"/>
        <w:jc w:val="both"/>
      </w:pPr>
    </w:p>
    <w:p w:rsidR="00525234" w:rsidRDefault="00525234">
      <w:pPr>
        <w:pStyle w:val="ConsPlusNormal"/>
        <w:ind w:firstLine="540"/>
        <w:jc w:val="both"/>
      </w:pPr>
      <w:r>
        <w:t>1. В первую очередь, это различные формы работы на дому: удаленная, дистанционная, надомная работа.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С учетом необходимости соблюдения противоэпидемических требований органов государственной власти по предупреждению распространения эпидемии взаимодействие работников и работодателей по организации удаленной работы могут оформляться при необходимости путем обмена электронными образами документов с последующим их оформлением в установленном порядке.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Title"/>
        <w:ind w:firstLine="540"/>
        <w:jc w:val="both"/>
        <w:outlineLvl w:val="1"/>
      </w:pPr>
      <w:r>
        <w:t>1.1. Удаленная работа.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Рекомендуется осуществлять переход на удаленную работу всех работников, для которых </w:t>
      </w:r>
      <w:r>
        <w:lastRenderedPageBreak/>
        <w:t>существуют такие технические возможности. В первую очередь - беременных женщин, родителей с малолетними детьми (родителей (опекунов, попечителей, приемных родителей), воспитывающих детей в возрасте до четырнадцати лет или ребенка-инвалида в возрасте до восемнадцати лет), инвалидов, лиц, возраста 65 лет и старше. Вопрос о переходе на удаленную работу должен решаться с учетом задач, которые возложены на работника, и возможности их выполнять удаленно. Работодателю необходимо оценить технические возможности организации такой работы как со стороны работодателя, так и со стороны работника.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работы. 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Также необходимо издать приказ о временном (на период мероприятий, направленных на нераспространение новой коронавирусной инфекции) переходе сотрудников на удаленную работу на дому и ознакомить с ним работников.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Заработная плата при удаленной занятости при сохранении должностных обязанностей, которые возложены на сотрудника, должна остаться без изменений.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Title"/>
        <w:ind w:firstLine="540"/>
        <w:jc w:val="both"/>
        <w:outlineLvl w:val="1"/>
      </w:pPr>
      <w:r>
        <w:t>1.2. Дистанционная работа.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Кодекс) предусмотрена возможность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"Интернет" (</w:t>
      </w:r>
      <w:hyperlink r:id="rId8" w:history="1">
        <w:r>
          <w:rPr>
            <w:color w:val="0000FF"/>
          </w:rPr>
          <w:t>глава 49.1</w:t>
        </w:r>
      </w:hyperlink>
      <w:r>
        <w:t xml:space="preserve"> Кодекса). Такой трудовой договор отличается от обычного, поскольку содержит ряд дополнительных условий.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Для перехода сотрудника на дистанционную работу нужно заключить с ним дополнительное соглашение к трудовому договору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>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договоре. За использование личного оборудования выплачивается компенсация в размерах, предусмотренных трудовым договором.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В случае дистанционной работы с учетом необходимости соблюдения противоэпидемических требований органов государственной власти по предупреждению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порядке.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Title"/>
        <w:ind w:firstLine="540"/>
        <w:jc w:val="both"/>
        <w:outlineLvl w:val="1"/>
      </w:pPr>
      <w:r>
        <w:t>1.3. Надомная работа.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Надомники - это лица, которые заключили трудовой договор о выполнении работы на дому с использованием материалов, инструментов и механизмов, полученных от работодателя либо </w:t>
      </w:r>
      <w:r>
        <w:lastRenderedPageBreak/>
        <w:t>приобретаемых за свой счет (</w:t>
      </w:r>
      <w:hyperlink r:id="rId10" w:history="1">
        <w:r>
          <w:rPr>
            <w:color w:val="0000FF"/>
          </w:rPr>
          <w:t>глава 49</w:t>
        </w:r>
      </w:hyperlink>
      <w:r>
        <w:t xml:space="preserve"> Кодекса). Надомник может выполнять работу, обусловленную трудовым договором, с участием членов его семьи. При этом трудовые отношения между членами семьи надомника и работодателем не возникают. Результат работы надомника материален - это какая-то вещь. Таким образом, не любую работу, выполняемую вне офиса, можно считать надомной.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Вопросы организации надомной работы регламентируются в трудовом договоре (дополнительном соглашении к трудовому договору), в том числе использование материалов, инструментов и механизмов, транспортное обеспечение доставки материалов и продукции, а также основания для расторжения трудового договора.</w:t>
      </w:r>
    </w:p>
    <w:p w:rsidR="00525234" w:rsidRDefault="00525234">
      <w:pPr>
        <w:pStyle w:val="ConsPlusNormal"/>
        <w:ind w:firstLine="540"/>
        <w:jc w:val="both"/>
      </w:pPr>
    </w:p>
    <w:p w:rsidR="00525234" w:rsidRDefault="00525234">
      <w:pPr>
        <w:pStyle w:val="ConsPlusNormal"/>
        <w:ind w:firstLine="540"/>
        <w:jc w:val="both"/>
      </w:pPr>
      <w:r>
        <w:t>2. Для работников, которые продолжают работать на рабочем месте, следует обеспечить оптимальный режим рабочего времени и времени отдыха работников.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Для изменения режимов рабочего времени необходимо издать соответствующий приказ на период мероприятий, направленных на нераспространение новой коронавирусной инфекции.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С работником следует заключить дополнительное соглашение к трудовому договору, в котором нужно отразить необходимые условия (время начала и окончания, общая продолжительность рабочего дня).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Title"/>
        <w:ind w:firstLine="540"/>
        <w:jc w:val="both"/>
        <w:outlineLvl w:val="1"/>
      </w:pPr>
      <w:r>
        <w:t>2.1. Гибкий режим рабочего времени и разделение рабочего дня на части.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Данные режимы позволяют избегать скопления людей на входе и выходе при начале/окончании рабочего дня, увеличить расстояния между работниками во время рабочего дня.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При гибком режиме рабочего времени время начала, окончания рабочего дня или общая продолжительность рабочего дня (смены) определяются по соглашению сторон (</w:t>
      </w:r>
      <w:hyperlink r:id="rId11" w:history="1">
        <w:r>
          <w:rPr>
            <w:color w:val="0000FF"/>
          </w:rPr>
          <w:t>статья 102</w:t>
        </w:r>
      </w:hyperlink>
      <w:r>
        <w:t xml:space="preserve"> Кодекса). При этом обеспечивается суммарное количество рабочих часов за принятый в организации для этих целей учетный период (это может быть рабочий день, неделя, месяц и другие).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При суммированном учете рабочего времени продолжительность рабочего времени за учетный период (месяц, квартал и другие периоды) не должна превышать нормальное число рабочих часов. Учетный период не может превышать 1 год, а для работ с вредными и (или) опасными условиями труда 3 месяца.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Режим рабочего времени с разделением рабочего дня на части применяется 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(смены). При этом общая продолжительность рабочего времени не должна превышать установленной продолжительности ежедневной работы (</w:t>
      </w:r>
      <w:hyperlink r:id="rId12" w:history="1">
        <w:r>
          <w:rPr>
            <w:color w:val="0000FF"/>
          </w:rPr>
          <w:t>статья 105</w:t>
        </w:r>
      </w:hyperlink>
      <w:r>
        <w:t xml:space="preserve"> Кодекса).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Title"/>
        <w:ind w:firstLine="540"/>
        <w:jc w:val="both"/>
        <w:outlineLvl w:val="1"/>
      </w:pPr>
      <w:r>
        <w:t>2.2. Сменная работа.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Данный режим также позволяет рассредоточить работников в помещениях, оптимизировать нагрузку на работников. Его целесообразно применять при увеличении объемов работы в организациях, в том числе выполняющих неотложные работы, связанные с обеспечением населения в условиях эпидемии. Сменный режим рабочего времени - работа в две, три или четыре смены. При сменной работе вводится суммированный учет рабочего времени. Графики работ по соглашению с работниками корректируются по мере изменения эпидемиологической ситуации и объемов необходимых работ. Порядок введения суммированного учета рабочего времени устанавливается правилами внутреннего трудового распорядка (</w:t>
      </w:r>
      <w:hyperlink r:id="rId13" w:history="1">
        <w:r>
          <w:rPr>
            <w:color w:val="0000FF"/>
          </w:rPr>
          <w:t>статьи 103</w:t>
        </w:r>
      </w:hyperlink>
      <w:r>
        <w:t xml:space="preserve">, </w:t>
      </w:r>
      <w:hyperlink r:id="rId14" w:history="1">
        <w:r>
          <w:rPr>
            <w:color w:val="0000FF"/>
          </w:rPr>
          <w:t>104</w:t>
        </w:r>
      </w:hyperlink>
      <w:r>
        <w:t xml:space="preserve"> Кодекса).</w:t>
      </w:r>
    </w:p>
    <w:p w:rsidR="00525234" w:rsidRDefault="00525234">
      <w:pPr>
        <w:pStyle w:val="ConsPlusNormal"/>
        <w:ind w:firstLine="540"/>
        <w:jc w:val="both"/>
      </w:pPr>
    </w:p>
    <w:p w:rsidR="00525234" w:rsidRDefault="00525234">
      <w:pPr>
        <w:pStyle w:val="ConsPlusNormal"/>
        <w:ind w:firstLine="540"/>
        <w:jc w:val="both"/>
      </w:pPr>
      <w:r>
        <w:t xml:space="preserve">2.3. При необходимости оперативной организации работ в целях предупреждения </w:t>
      </w:r>
      <w:r>
        <w:lastRenderedPageBreak/>
        <w:t xml:space="preserve">распространения эпидемии применяются нормы </w:t>
      </w:r>
      <w:hyperlink r:id="rId15" w:history="1">
        <w:r>
          <w:rPr>
            <w:color w:val="0000FF"/>
          </w:rPr>
          <w:t>Кодекса</w:t>
        </w:r>
      </w:hyperlink>
      <w:r>
        <w:t>, предусматривающие возможность в случае эпидемии и в иных случаях, ставящих под угрозу жизнь или нормальные жизненные условия всего населения или его части: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привлечение к работе без согласия гражданина </w:t>
      </w:r>
      <w:hyperlink r:id="rId16" w:history="1">
        <w:r>
          <w:rPr>
            <w:color w:val="0000FF"/>
          </w:rPr>
          <w:t>(статья 4)</w:t>
        </w:r>
      </w:hyperlink>
      <w:r>
        <w:t>;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заключения срочных трудовых договоров по соглашению сторон </w:t>
      </w:r>
      <w:hyperlink r:id="rId17" w:history="1">
        <w:r>
          <w:rPr>
            <w:color w:val="0000FF"/>
          </w:rPr>
          <w:t>(статья 59)</w:t>
        </w:r>
      </w:hyperlink>
      <w:r>
        <w:t>;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временный перевод работника без его согласия на срок до 1 месяца на не обусловленную трудовым договором работу </w:t>
      </w:r>
      <w:hyperlink r:id="rId18" w:history="1">
        <w:r>
          <w:rPr>
            <w:color w:val="0000FF"/>
          </w:rPr>
          <w:t>(часть вторая стать 72.2)</w:t>
        </w:r>
      </w:hyperlink>
      <w:r>
        <w:t>;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привлечение без согласия работника к сверхурочной работе и работе в выходные и нерабочие праздничные дни (</w:t>
      </w:r>
      <w:hyperlink r:id="rId19" w:history="1">
        <w:r>
          <w:rPr>
            <w:color w:val="0000FF"/>
          </w:rPr>
          <w:t>п. 3 части 3 статьи 99</w:t>
        </w:r>
      </w:hyperlink>
      <w:r>
        <w:t xml:space="preserve">, </w:t>
      </w:r>
      <w:hyperlink r:id="rId20" w:history="1">
        <w:r>
          <w:rPr>
            <w:color w:val="0000FF"/>
          </w:rPr>
          <w:t>п. 3 части 3 статьи 113</w:t>
        </w:r>
      </w:hyperlink>
      <w:r>
        <w:t>).</w:t>
      </w:r>
    </w:p>
    <w:p w:rsidR="00525234" w:rsidRDefault="00525234">
      <w:pPr>
        <w:pStyle w:val="ConsPlusNormal"/>
        <w:ind w:firstLine="540"/>
        <w:jc w:val="both"/>
      </w:pPr>
    </w:p>
    <w:p w:rsidR="00525234" w:rsidRDefault="00525234">
      <w:pPr>
        <w:pStyle w:val="ConsPlusNormal"/>
        <w:ind w:firstLine="540"/>
        <w:jc w:val="both"/>
      </w:pPr>
      <w:r>
        <w:t>3. При снижении объемов работы в связи с эпидемией в целях сохранения рабочих мест целесообразно применять режим неполного рабочего времени.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Режим неполного рабочего времени (неполный рабочий день и (или) неполная рабочая неделя) позволяет увязать оплату труда работника с продолжительностью отработанного времени (</w:t>
      </w:r>
      <w:hyperlink r:id="rId21" w:history="1">
        <w:r>
          <w:rPr>
            <w:color w:val="0000FF"/>
          </w:rPr>
          <w:t>статья 93</w:t>
        </w:r>
      </w:hyperlink>
      <w:r>
        <w:t xml:space="preserve"> Кодекса). При неполном рабочем времени оплата труда производится пропорционально отработанному времени или за фактически выполненную работу.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При неполном рабочем времени допускается разделение рабочего дня на части. Также возможно чередование выходов на работу (неделя через неделю и т.п.). Продолжительность рабочего времени при неполном рабочем времени устанавливается по соглашению сторон. При этом гарантии, установленные </w:t>
      </w:r>
      <w:hyperlink r:id="rId22" w:history="1">
        <w:r>
          <w:rPr>
            <w:color w:val="0000FF"/>
          </w:rPr>
          <w:t>Кодексом</w:t>
        </w:r>
      </w:hyperlink>
      <w:r>
        <w:t>, распространяются на работников, занятых неполное рабочее время, в полном объеме.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По соглашению работника и работодателя неполное рабочее время может быть установлено при заключении трудового договора или в дополнительном соглашении к нему.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При угрозе массового увольнения работников работодатель в целях сохранения рабочих мест имеет право с учетом мнения выборного органа первичной профсоюзной организации вводить режим неполного времени на срок до 6 месяцев с уведомлением об этом работника не позднее чем за 2 месяца (</w:t>
      </w:r>
      <w:hyperlink r:id="rId23" w:history="1">
        <w:r>
          <w:rPr>
            <w:color w:val="0000FF"/>
          </w:rPr>
          <w:t>статья 74</w:t>
        </w:r>
      </w:hyperlink>
      <w:r>
        <w:t xml:space="preserve"> Кодекса).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24.03.2020 N 152 "О внесении изменений в приказ Минтруда России от 30.12.2014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 в случае введения режима неполной занятости работодатели обязаны представить соответствующую информацию посредством заполнения отчетной формы в электронном виде в личном кабинете работодателя ИАС ОБВ "Работа в России" (портал "Работа в России").</w:t>
      </w:r>
    </w:p>
    <w:p w:rsidR="00525234" w:rsidRDefault="00525234">
      <w:pPr>
        <w:pStyle w:val="ConsPlusNormal"/>
        <w:ind w:firstLine="540"/>
        <w:jc w:val="both"/>
      </w:pPr>
    </w:p>
    <w:p w:rsidR="00525234" w:rsidRDefault="00525234">
      <w:pPr>
        <w:pStyle w:val="ConsPlusNormal"/>
        <w:ind w:firstLine="540"/>
        <w:jc w:val="both"/>
      </w:pPr>
      <w:r>
        <w:t>4. Кроме того, с учетом сложной ситуации следует использовать все возможности обеспечения занятости работников, включая работу по договорам о временной работе на срок до двух месяцев, о сезонной работе до шести месяцев и другие.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При временной работе, срок выполнения которой не превышает 2 месяцев (</w:t>
      </w:r>
      <w:hyperlink r:id="rId25" w:history="1">
        <w:r>
          <w:rPr>
            <w:color w:val="0000FF"/>
          </w:rPr>
          <w:t>глава 45</w:t>
        </w:r>
      </w:hyperlink>
      <w:r>
        <w:t xml:space="preserve"> Кодекса), в трудовом договоре можно отразить не должность, на которую принимается работник, а </w:t>
      </w:r>
      <w:r>
        <w:lastRenderedPageBreak/>
        <w:t>конкретный вид поручаемой работы. Нужно указать дату начала работы, срок (событие) ее окончания и причины срочного характера (например, "на время выполнения работ по уборке территории"). Испытание работникам, принятым на работу на срок до 2 месяцев, не устанавливается.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Сезонная работа в силу природных условий может производиться только в течение определенного периода (сезона), как правило, до 6 месяцев. В некоторых случаях продолжительность сезонных работ может превышать шесть месяцев. Перечень сезонных работ, а также максимальная их продолжительность устанавливаются отраслевыми соглашениями. В трудовом договоре указывается, что он заключен на сезон (</w:t>
      </w:r>
      <w:hyperlink r:id="rId26" w:history="1">
        <w:r>
          <w:rPr>
            <w:color w:val="0000FF"/>
          </w:rPr>
          <w:t>глава 46</w:t>
        </w:r>
      </w:hyperlink>
      <w:r>
        <w:t xml:space="preserve"> Кодекса). Применение актуально в сельском хозяйстве, городском хозяйстве и благоустройстве и т.п., то есть в сферах, где общественные работы могут быть организованы органами государственной власти субъектов Российской Федерации и органами местного самоуправления с учетом ситуации в регионах.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и местного самоуправления для организации занятости с использованием "онлайн-платформ" могут организовать взаимодействие соответствующих платформ со службами занятости, ФНС России в целях поддержки граждан, не имеющих заработка в рамках трудовых отношений.</w:t>
      </w:r>
    </w:p>
    <w:p w:rsidR="00525234" w:rsidRDefault="0052523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52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34" w:rsidRDefault="005252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5234" w:rsidRDefault="0052523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25234" w:rsidRDefault="00525234">
      <w:pPr>
        <w:pStyle w:val="ConsPlusTitle"/>
        <w:spacing w:before="280"/>
        <w:ind w:firstLine="540"/>
        <w:jc w:val="both"/>
        <w:outlineLvl w:val="1"/>
      </w:pPr>
      <w:r>
        <w:t>6. Предоставление отпусков и объявление простоя.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В соответствии с Указами Президента Российской Федерации от 25.03.2020 </w:t>
      </w:r>
      <w:hyperlink r:id="rId27" w:history="1">
        <w:r>
          <w:rPr>
            <w:color w:val="0000FF"/>
          </w:rPr>
          <w:t>N 206</w:t>
        </w:r>
      </w:hyperlink>
      <w:r>
        <w:t xml:space="preserve"> и от 02.04.2020 </w:t>
      </w:r>
      <w:hyperlink r:id="rId28" w:history="1">
        <w:r>
          <w:rPr>
            <w:color w:val="0000FF"/>
          </w:rPr>
          <w:t>N 239</w:t>
        </w:r>
      </w:hyperlink>
      <w:r>
        <w:t xml:space="preserve"> с 30 марта по 30 апреля 2020 года установлены нерабочие дни с сохранением за работниками заработной платы.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>Если работник находится в отпуске в этот период, то отпуск на эти дни не продлевается. Вместе с тем, в данный период по желанию работника работодатель имеет право предоставить отпуск или перенести его на другое время, не совпадающее с указанными нерабочими днями.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В части объявления простоя Указами Президента Российской Федерации от 25.03.2020 </w:t>
      </w:r>
      <w:hyperlink r:id="rId29" w:history="1">
        <w:r>
          <w:rPr>
            <w:color w:val="0000FF"/>
          </w:rPr>
          <w:t>N 206</w:t>
        </w:r>
      </w:hyperlink>
      <w:r>
        <w:t xml:space="preserve"> и от 02.04.2020 </w:t>
      </w:r>
      <w:hyperlink r:id="rId30" w:history="1">
        <w:r>
          <w:rPr>
            <w:color w:val="0000FF"/>
          </w:rPr>
          <w:t>N 239</w:t>
        </w:r>
      </w:hyperlink>
      <w:r>
        <w:t xml:space="preserve"> определено: за работниками сохраняется зарплата. Простой же означает остановку деятельности с уменьшением заработной платы сотрудника. Однако в нерабочие дни деятельность предприятия не предполагается, поэтому объявить простой, влекущий за собой уменьшение зарплаты, работодатель не может.</w:t>
      </w:r>
    </w:p>
    <w:p w:rsidR="00525234" w:rsidRDefault="0052523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52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234" w:rsidRDefault="005252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5234" w:rsidRDefault="0052523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25234" w:rsidRDefault="00525234">
      <w:pPr>
        <w:pStyle w:val="ConsPlusNormal"/>
        <w:spacing w:before="280"/>
        <w:ind w:firstLine="540"/>
        <w:jc w:val="both"/>
      </w:pPr>
      <w:r>
        <w:t>5. Применение электронного обучения и дистанционных образовательных технологий не снижает норму часов педагогической работы и не может являться основанием для уменьшения размера заработной платы, включая компенсационные и стимулирующие выплаты, в том числе при переводе педагогических работников на режим удаленной (дистанционной) работы.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установленная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норма часов педагогической работы может выполняться путем осуществления иной работы, не подразумевающей контакта с </w:t>
      </w:r>
      <w:r>
        <w:lastRenderedPageBreak/>
        <w:t>обучающимися и их родителями (законными представителями) - методическая, организационная, научная, творческая, исследовательская.</w:t>
      </w:r>
    </w:p>
    <w:p w:rsidR="00525234" w:rsidRDefault="0052523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Особенностями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- Особенности),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и иных работников (</w:t>
      </w:r>
      <w:hyperlink r:id="rId33" w:history="1">
        <w:r>
          <w:rPr>
            <w:color w:val="0000FF"/>
          </w:rPr>
          <w:t>пункт 5.1</w:t>
        </w:r>
      </w:hyperlink>
      <w:r>
        <w:t xml:space="preserve"> Особенностей), которые привлекаются к выполнению работ в порядке и на условиях, предусмотренных для режима рабочего времени работников организации в каникулярное время (</w:t>
      </w:r>
      <w:hyperlink r:id="rId34" w:history="1">
        <w:r>
          <w:rPr>
            <w:color w:val="0000FF"/>
          </w:rPr>
          <w:t>пункт 5.2</w:t>
        </w:r>
      </w:hyperlink>
      <w:r>
        <w:t xml:space="preserve"> Особенностей). В соответствии с </w:t>
      </w:r>
      <w:hyperlink r:id="rId35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36" w:history="1">
        <w:r>
          <w:rPr>
            <w:color w:val="0000FF"/>
          </w:rPr>
          <w:t>4.5</w:t>
        </w:r>
      </w:hyperlink>
      <w:r>
        <w:t xml:space="preserve"> Особенностей периоды каникулярного времени, установленные для обучающихся организации и не совпадающие для педагогических и иных работников с установленными им ежегодными оплачиваемыми отпусками являются для таких работников рабочим временем с оплатой труда в соответствии с законодательством Российской Федерации, в каникулярное время педагогические работники выполняют методическую и организационную работу, а также иные виды работы, предусмотренные </w:t>
      </w:r>
      <w:hyperlink r:id="rId37" w:history="1">
        <w:r>
          <w:rPr>
            <w:color w:val="0000FF"/>
          </w:rPr>
          <w:t>пунктом 2.3</w:t>
        </w:r>
      </w:hyperlink>
      <w:r>
        <w:t xml:space="preserve"> Особенностей, работники из числа учебно-вспомогательного и обслуживающего персонала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jc w:val="both"/>
      </w:pPr>
    </w:p>
    <w:p w:rsidR="00525234" w:rsidRDefault="00525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CF0" w:rsidRDefault="009C5CF0">
      <w:bookmarkStart w:id="1" w:name="_GoBack"/>
      <w:bookmarkEnd w:id="1"/>
    </w:p>
    <w:sectPr w:rsidR="009C5CF0" w:rsidSect="007D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4"/>
    <w:rsid w:val="00525234"/>
    <w:rsid w:val="009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E88C-F0B7-4392-81A5-2CA2A9A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1052E51C1AA75EED43EBC05E0322016F5E6C6E3FFF0CA959D74EF03264AEAD1532B286537C625FFD53F3087A59A9B6DF346FF0916k0s2A" TargetMode="External"/><Relationship Id="rId13" Type="http://schemas.openxmlformats.org/officeDocument/2006/relationships/hyperlink" Target="consultantplus://offline/ref=9C51052E51C1AA75EED43EBC05E0322016F5E6C6E3FFF0CA959D74EF03264AEAD1532B286D32C52DA28F2F34CEF397866CED59FD171602D1k3s7A" TargetMode="External"/><Relationship Id="rId18" Type="http://schemas.openxmlformats.org/officeDocument/2006/relationships/hyperlink" Target="consultantplus://offline/ref=9C51052E51C1AA75EED43EBC05E0322016F5E6C6E3FFF0CA959D74EF03264AEAD1532B2D693BC97AFAC02E6889A684846CED5AFD0Bk1s4A" TargetMode="External"/><Relationship Id="rId26" Type="http://schemas.openxmlformats.org/officeDocument/2006/relationships/hyperlink" Target="consultantplus://offline/ref=9C51052E51C1AA75EED43EBC05E0322016F5E6C6E3FFF0CA959D74EF03264AEAD1532B286D33C52DAF8F2F34CEF397866CED59FD171602D1k3s7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51052E51C1AA75EED43EBC05E0322016F5E6C6E3FFF0CA959D74EF03264AEAD1532B286D32C426AC8F2F34CEF397866CED59FD171602D1k3s7A" TargetMode="External"/><Relationship Id="rId34" Type="http://schemas.openxmlformats.org/officeDocument/2006/relationships/hyperlink" Target="consultantplus://offline/ref=9C51052E51C1AA75EED43EBC05E0322014F9E9CEE9F2F0CA959D74EF03264AEAD1532B286D32C228AC8F2F34CEF397866CED59FD171602D1k3s7A" TargetMode="External"/><Relationship Id="rId7" Type="http://schemas.openxmlformats.org/officeDocument/2006/relationships/hyperlink" Target="consultantplus://offline/ref=9C51052E51C1AA75EED43EBC05E0322016F5E6C6E3FFF0CA959D74EF03264AEAC35373246E32DC2FAB9A796588kAs6A" TargetMode="External"/><Relationship Id="rId12" Type="http://schemas.openxmlformats.org/officeDocument/2006/relationships/hyperlink" Target="consultantplus://offline/ref=9C51052E51C1AA75EED43EBC05E0322016F5E6C6E3FFF0CA959D74EF03264AEAD1532B286D32C52AA38F2F34CEF397866CED59FD171602D1k3s7A" TargetMode="External"/><Relationship Id="rId17" Type="http://schemas.openxmlformats.org/officeDocument/2006/relationships/hyperlink" Target="consultantplus://offline/ref=9C51052E51C1AA75EED43EBC05E0322016F5E6C6E3FFF0CA959D74EF03264AEAD1532B2A6B3BC97AFAC02E6889A684846CED5AFD0Bk1s4A" TargetMode="External"/><Relationship Id="rId25" Type="http://schemas.openxmlformats.org/officeDocument/2006/relationships/hyperlink" Target="consultantplus://offline/ref=9C51052E51C1AA75EED43EBC05E0322016F5E6C6E3FFF0CA959D74EF03264AEAD1532B286D33C52CA98F2F34CEF397866CED59FD171602D1k3s7A" TargetMode="External"/><Relationship Id="rId33" Type="http://schemas.openxmlformats.org/officeDocument/2006/relationships/hyperlink" Target="consultantplus://offline/ref=9C51052E51C1AA75EED43EBC05E0322014F9E9CEE9F2F0CA959D74EF03264AEAD1532B286D32C228AD8F2F34CEF397866CED59FD171602D1k3s7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51052E51C1AA75EED43EBC05E0322016F5E6C6E3FFF0CA959D74EF03264AEAD1532B286D32C22AAD8F2F34CEF397866CED59FD171602D1k3s7A" TargetMode="External"/><Relationship Id="rId20" Type="http://schemas.openxmlformats.org/officeDocument/2006/relationships/hyperlink" Target="consultantplus://offline/ref=9C51052E51C1AA75EED43EBC05E0322016F5E6C6E3FFF0CA959D74EF03264AEAD1532B2F6D31C97AFAC02E6889A684846CED5AFD0Bk1s4A" TargetMode="External"/><Relationship Id="rId29" Type="http://schemas.openxmlformats.org/officeDocument/2006/relationships/hyperlink" Target="consultantplus://offline/ref=9C51052E51C1AA75EED43EBC05E0322016F4E9C3E8FEF0CA959D74EF03264AEAD1532B286D32C22EAC8F2F34CEF397866CED59FD171602D1k3s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1052E51C1AA75EED43EBC05E0322016F4E8C5E2F8F0CA959D74EF03264AEAC35373246E32DC2FAB9A796588kAs6A" TargetMode="External"/><Relationship Id="rId11" Type="http://schemas.openxmlformats.org/officeDocument/2006/relationships/hyperlink" Target="consultantplus://offline/ref=9C51052E51C1AA75EED43EBC05E0322016F5E6C6E3FFF0CA959D74EF03264AEAD1532B2C6531C97AFAC02E6889A684846CED5AFD0Bk1s4A" TargetMode="External"/><Relationship Id="rId24" Type="http://schemas.openxmlformats.org/officeDocument/2006/relationships/hyperlink" Target="consultantplus://offline/ref=9C51052E51C1AA75EED43EBC05E0322016F4E9CEE4F9F0CA959D74EF03264AEAC35373246E32DC2FAB9A796588kAs6A" TargetMode="External"/><Relationship Id="rId32" Type="http://schemas.openxmlformats.org/officeDocument/2006/relationships/hyperlink" Target="consultantplus://offline/ref=9C51052E51C1AA75EED43EBC05E0322014F9E9CEE9F2F0CA959D74EF03264AEAD1532B286D32C22FAA8F2F34CEF397866CED59FD171602D1k3s7A" TargetMode="External"/><Relationship Id="rId37" Type="http://schemas.openxmlformats.org/officeDocument/2006/relationships/hyperlink" Target="consultantplus://offline/ref=9C51052E51C1AA75EED43EBC05E0322014F9E9CEE9F2F0CA959D74EF03264AEAD1532B286D32C22DA88F2F34CEF397866CED59FD171602D1k3s7A" TargetMode="External"/><Relationship Id="rId5" Type="http://schemas.openxmlformats.org/officeDocument/2006/relationships/hyperlink" Target="consultantplus://offline/ref=9C51052E51C1AA75EED43EBC05E0322016F4E8C5E2F8F0CA959D74EF03264AEAD1532B286D32C22DA38F2F34CEF397866CED59FD171602D1k3s7A" TargetMode="External"/><Relationship Id="rId15" Type="http://schemas.openxmlformats.org/officeDocument/2006/relationships/hyperlink" Target="consultantplus://offline/ref=9C51052E51C1AA75EED43EBC05E0322016F5E6C6E3FFF0CA959D74EF03264AEAC35373246E32DC2FAB9A796588kAs6A" TargetMode="External"/><Relationship Id="rId23" Type="http://schemas.openxmlformats.org/officeDocument/2006/relationships/hyperlink" Target="consultantplus://offline/ref=9C51052E51C1AA75EED43EBC05E0322016F5E6C6E3FFF0CA959D74EF03264AEAD1532B2D683BC97AFAC02E6889A684846CED5AFD0Bk1s4A" TargetMode="External"/><Relationship Id="rId28" Type="http://schemas.openxmlformats.org/officeDocument/2006/relationships/hyperlink" Target="consultantplus://offline/ref=9C51052E51C1AA75EED43EBC05E0322016F4E8C5E1FCF0CA959D74EF03264AEAD1532B286D32C22EAC8F2F34CEF397866CED59FD171602D1k3s7A" TargetMode="External"/><Relationship Id="rId36" Type="http://schemas.openxmlformats.org/officeDocument/2006/relationships/hyperlink" Target="consultantplus://offline/ref=9C51052E51C1AA75EED43EBC05E0322014F9E9CEE9F2F0CA959D74EF03264AEAD1532B286D32C228A98F2F34CEF397866CED59FD171602D1k3s7A" TargetMode="External"/><Relationship Id="rId10" Type="http://schemas.openxmlformats.org/officeDocument/2006/relationships/hyperlink" Target="consultantplus://offline/ref=9C51052E51C1AA75EED43EBC05E0322016F5E6C6E3FFF0CA959D74EF03264AEAD1532B286D33C527A38F2F34CEF397866CED59FD171602D1k3s7A" TargetMode="External"/><Relationship Id="rId19" Type="http://schemas.openxmlformats.org/officeDocument/2006/relationships/hyperlink" Target="consultantplus://offline/ref=9C51052E51C1AA75EED43EBC05E0322016F5E6C6E3FFF0CA959D74EF03264AEAD1532B2C6A34C97AFAC02E6889A684846CED5AFD0Bk1s4A" TargetMode="External"/><Relationship Id="rId31" Type="http://schemas.openxmlformats.org/officeDocument/2006/relationships/hyperlink" Target="consultantplus://offline/ref=9C51052E51C1AA75EED43EBC05E0322016F2E4C6E0F9F0CA959D74EF03264AEAD1532B286D32C22FA98F2F34CEF397866CED59FD171602D1k3s7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51052E51C1AA75EED43EBC05E0322016F5E6C6E3FFF0CA959D74EF03264AEAD1532B286534C725FFD53F3087A59A9B6DF346FF0916k0s2A" TargetMode="External"/><Relationship Id="rId14" Type="http://schemas.openxmlformats.org/officeDocument/2006/relationships/hyperlink" Target="consultantplus://offline/ref=9C51052E51C1AA75EED43EBC05E0322016F5E6C6E3FFF0CA959D74EF03264AEAD1532B286D32C52AAE8F2F34CEF397866CED59FD171602D1k3s7A" TargetMode="External"/><Relationship Id="rId22" Type="http://schemas.openxmlformats.org/officeDocument/2006/relationships/hyperlink" Target="consultantplus://offline/ref=9C51052E51C1AA75EED43EBC05E0322016F5E6C6E3FFF0CA959D74EF03264AEAC35373246E32DC2FAB9A796588kAs6A" TargetMode="External"/><Relationship Id="rId27" Type="http://schemas.openxmlformats.org/officeDocument/2006/relationships/hyperlink" Target="consultantplus://offline/ref=9C51052E51C1AA75EED43EBC05E0322016F4E9C3E8FEF0CA959D74EF03264AEAD1532B286D32C22EAC8F2F34CEF397866CED59FD171602D1k3s7A" TargetMode="External"/><Relationship Id="rId30" Type="http://schemas.openxmlformats.org/officeDocument/2006/relationships/hyperlink" Target="consultantplus://offline/ref=9C51052E51C1AA75EED43EBC05E0322016F4E8C5E1FCF0CA959D74EF03264AEAD1532B286D32C22EAC8F2F34CEF397866CED59FD171602D1k3s7A" TargetMode="External"/><Relationship Id="rId35" Type="http://schemas.openxmlformats.org/officeDocument/2006/relationships/hyperlink" Target="consultantplus://offline/ref=9C51052E51C1AA75EED43EBC05E0322014F9E9CEE9F2F0CA959D74EF03264AEAD1532B286D32C22BAD8F2F34CEF397866CED59FD171602D1k3s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Юлия Алексеевна</dc:creator>
  <cp:keywords/>
  <dc:description/>
  <cp:lastModifiedBy>Кобелева Юлия Алексеевна</cp:lastModifiedBy>
  <cp:revision>1</cp:revision>
  <dcterms:created xsi:type="dcterms:W3CDTF">2020-10-30T00:44:00Z</dcterms:created>
  <dcterms:modified xsi:type="dcterms:W3CDTF">2020-10-30T00:45:00Z</dcterms:modified>
</cp:coreProperties>
</file>